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8" w:lineRule="auto"/>
        <w:rPr>
          <w:rFonts w:ascii="Arial"/>
          <w:sz w:val="21"/>
        </w:rPr>
      </w:pPr>
    </w:p>
    <w:p>
      <w:pPr>
        <w:spacing w:line="359" w:lineRule="auto"/>
        <w:rPr>
          <w:rFonts w:ascii="Arial"/>
          <w:sz w:val="21"/>
        </w:rPr>
      </w:pPr>
    </w:p>
    <w:p>
      <w:pPr>
        <w:spacing w:before="101" w:line="391" w:lineRule="auto"/>
        <w:ind w:left="7318" w:right="26" w:firstLine="1120"/>
        <w:rPr>
          <w:rFonts w:ascii="仿宋" w:hAnsi="仿宋" w:eastAsia="仿宋" w:cs="仿宋"/>
          <w:sz w:val="31"/>
          <w:szCs w:val="31"/>
        </w:rPr>
      </w:pPr>
      <w:r>
        <w:rPr>
          <w:rFonts w:ascii="仿宋" w:hAnsi="仿宋" w:eastAsia="仿宋" w:cs="仿宋"/>
          <w:spacing w:val="-22"/>
          <w:sz w:val="31"/>
          <w:szCs w:val="31"/>
        </w:rPr>
        <w:t>[B]</w:t>
      </w:r>
      <w:r>
        <w:rPr>
          <w:rFonts w:ascii="仿宋" w:hAnsi="仿宋" w:eastAsia="仿宋" w:cs="仿宋"/>
          <w:sz w:val="31"/>
          <w:szCs w:val="31"/>
        </w:rPr>
        <w:t xml:space="preserve"> </w:t>
      </w:r>
      <w:r>
        <w:rPr>
          <w:rFonts w:ascii="仿宋" w:hAnsi="仿宋" w:eastAsia="仿宋" w:cs="仿宋"/>
          <w:spacing w:val="-6"/>
          <w:sz w:val="31"/>
          <w:szCs w:val="31"/>
        </w:rPr>
        <w:t>[</w:t>
      </w:r>
      <w:r>
        <w:rPr>
          <w:rFonts w:ascii="仿宋" w:hAnsi="仿宋" w:eastAsia="仿宋" w:cs="仿宋"/>
          <w:spacing w:val="-5"/>
          <w:sz w:val="31"/>
          <w:szCs w:val="31"/>
        </w:rPr>
        <w:t>同意公开]</w:t>
      </w:r>
    </w:p>
    <w:p>
      <w:pPr>
        <w:spacing w:before="581" w:line="185" w:lineRule="auto"/>
        <w:ind w:left="687"/>
        <w:rPr>
          <w:rFonts w:hint="eastAsia" w:ascii="方正小标宋_GBK" w:hAnsi="方正小标宋_GBK" w:eastAsia="方正小标宋_GBK" w:cs="方正小标宋_GBK"/>
          <w:sz w:val="83"/>
          <w:szCs w:val="83"/>
        </w:rPr>
      </w:pPr>
      <w:bookmarkStart w:id="0" w:name="_GoBack"/>
      <w:r>
        <w:rPr>
          <w:rFonts w:hint="eastAsia" w:ascii="方正小标宋_GBK" w:hAnsi="方正小标宋_GBK" w:eastAsia="方正小标宋_GBK" w:cs="方正小标宋_GBK"/>
          <w:color w:val="FF0000"/>
          <w:spacing w:val="20"/>
          <w:sz w:val="83"/>
          <w:szCs w:val="83"/>
        </w:rPr>
        <w:t>宁</w:t>
      </w:r>
      <w:r>
        <w:rPr>
          <w:rFonts w:hint="eastAsia" w:ascii="方正小标宋_GBK" w:hAnsi="方正小标宋_GBK" w:eastAsia="方正小标宋_GBK" w:cs="方正小标宋_GBK"/>
          <w:color w:val="FF0000"/>
          <w:spacing w:val="17"/>
          <w:sz w:val="83"/>
          <w:szCs w:val="83"/>
        </w:rPr>
        <w:t xml:space="preserve"> 夏 农 林 科 学 院</w:t>
      </w:r>
    </w:p>
    <w:bookmarkEnd w:id="0"/>
    <w:p>
      <w:pPr>
        <w:spacing w:before="172" w:line="106" w:lineRule="exact"/>
        <w:textAlignment w:val="center"/>
      </w:pPr>
      <w:r>
        <w:drawing>
          <wp:inline distT="0" distB="0" distL="0" distR="0">
            <wp:extent cx="5619750" cy="6731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5620298" cy="67628"/>
                    </a:xfrm>
                    <a:prstGeom prst="rect">
                      <a:avLst/>
                    </a:prstGeom>
                  </pic:spPr>
                </pic:pic>
              </a:graphicData>
            </a:graphic>
          </wp:inline>
        </w:drawing>
      </w:r>
    </w:p>
    <w:p>
      <w:pPr>
        <w:spacing w:line="302" w:lineRule="auto"/>
        <w:rPr>
          <w:rFonts w:ascii="Arial"/>
          <w:sz w:val="21"/>
        </w:rPr>
      </w:pPr>
    </w:p>
    <w:p>
      <w:pPr>
        <w:spacing w:line="302" w:lineRule="auto"/>
        <w:rPr>
          <w:rFonts w:ascii="Arial"/>
          <w:sz w:val="21"/>
        </w:rPr>
      </w:pPr>
    </w:p>
    <w:p>
      <w:pPr>
        <w:spacing w:line="30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pacing w:val="6"/>
          <w:sz w:val="44"/>
          <w:szCs w:val="44"/>
          <w:lang w:eastAsia="zh-CN"/>
        </w:rPr>
      </w:pPr>
      <w:r>
        <w:rPr>
          <w:rFonts w:hint="eastAsia" w:ascii="方正小标宋_GBK" w:hAnsi="方正小标宋_GBK" w:eastAsia="方正小标宋_GBK" w:cs="方正小标宋_GBK"/>
          <w:spacing w:val="6"/>
          <w:sz w:val="44"/>
          <w:szCs w:val="44"/>
          <w:lang w:eastAsia="zh-CN"/>
        </w:rPr>
        <w:t>关于自治区十三届人大一次会议第257号建议和自治区政协十二届一次会议第</w:t>
      </w:r>
      <w:r>
        <w:rPr>
          <w:rFonts w:hint="eastAsia" w:ascii="方正小标宋_GBK" w:hAnsi="方正小标宋_GBK" w:eastAsia="方正小标宋_GBK" w:cs="方正小标宋_GBK"/>
          <w:spacing w:val="6"/>
          <w:sz w:val="44"/>
          <w:szCs w:val="44"/>
          <w:lang w:val="en-US" w:eastAsia="zh-CN"/>
        </w:rPr>
        <w:t>022</w:t>
      </w:r>
      <w:r>
        <w:rPr>
          <w:rFonts w:hint="eastAsia" w:ascii="方正小标宋_GBK" w:hAnsi="方正小标宋_GBK" w:eastAsia="方正小标宋_GBK" w:cs="方正小标宋_GBK"/>
          <w:spacing w:val="6"/>
          <w:sz w:val="44"/>
          <w:szCs w:val="44"/>
          <w:lang w:eastAsia="zh-CN"/>
        </w:rPr>
        <w:t>号</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eastAsia="zh-CN"/>
        </w:rPr>
        <w:t>提案协办意见的通报</w:t>
      </w:r>
    </w:p>
    <w:p>
      <w:pPr>
        <w:spacing w:line="350" w:lineRule="auto"/>
        <w:rPr>
          <w:rFonts w:ascii="Arial"/>
          <w:sz w:val="21"/>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firstLine="663"/>
        <w:jc w:val="both"/>
        <w:textAlignment w:val="baseline"/>
        <w:rPr>
          <w:rFonts w:hint="eastAsia" w:ascii="仿宋" w:hAnsi="仿宋" w:eastAsia="仿宋" w:cs="仿宋"/>
          <w:spacing w:val="6"/>
          <w:sz w:val="32"/>
          <w:szCs w:val="32"/>
          <w:lang w:eastAsia="zh-CN"/>
        </w:rPr>
      </w:pPr>
      <w:r>
        <w:rPr>
          <w:rFonts w:hint="eastAsia" w:ascii="仿宋" w:hAnsi="仿宋" w:eastAsia="仿宋" w:cs="仿宋"/>
          <w:spacing w:val="6"/>
          <w:sz w:val="32"/>
          <w:szCs w:val="32"/>
        </w:rPr>
        <w:t>现就刘娟</w:t>
      </w:r>
      <w:r>
        <w:rPr>
          <w:rFonts w:hint="eastAsia" w:ascii="仿宋" w:hAnsi="仿宋" w:eastAsia="仿宋" w:cs="仿宋"/>
          <w:spacing w:val="6"/>
          <w:sz w:val="32"/>
          <w:szCs w:val="32"/>
          <w:lang w:eastAsia="zh-CN"/>
        </w:rPr>
        <w:t>代表</w:t>
      </w:r>
      <w:r>
        <w:rPr>
          <w:rFonts w:hint="eastAsia" w:ascii="仿宋" w:hAnsi="仿宋" w:eastAsia="仿宋" w:cs="仿宋"/>
          <w:spacing w:val="6"/>
          <w:sz w:val="32"/>
          <w:szCs w:val="32"/>
        </w:rPr>
        <w:t>提出的</w:t>
      </w:r>
      <w:r>
        <w:rPr>
          <w:rFonts w:hint="eastAsia" w:ascii="仿宋" w:hAnsi="仿宋" w:eastAsia="仿宋" w:cs="仿宋"/>
          <w:spacing w:val="6"/>
          <w:sz w:val="32"/>
          <w:szCs w:val="32"/>
          <w:lang w:eastAsia="zh-CN"/>
        </w:rPr>
        <w:t>第</w:t>
      </w:r>
      <w:r>
        <w:rPr>
          <w:rFonts w:hint="eastAsia" w:ascii="仿宋" w:hAnsi="仿宋" w:eastAsia="仿宋" w:cs="仿宋"/>
          <w:spacing w:val="6"/>
          <w:sz w:val="32"/>
          <w:szCs w:val="32"/>
          <w:lang w:val="en-US" w:eastAsia="zh-CN"/>
        </w:rPr>
        <w:t>257</w:t>
      </w:r>
      <w:r>
        <w:rPr>
          <w:rFonts w:hint="eastAsia" w:ascii="仿宋" w:hAnsi="仿宋" w:eastAsia="仿宋" w:cs="仿宋"/>
          <w:spacing w:val="6"/>
          <w:sz w:val="32"/>
          <w:szCs w:val="32"/>
          <w:lang w:eastAsia="zh-CN"/>
        </w:rPr>
        <w:t>号建议“关于进一步提高枸杞产业综合效益和竞争力的建议”，</w:t>
      </w:r>
      <w:r>
        <w:rPr>
          <w:rFonts w:hint="eastAsia" w:ascii="仿宋" w:hAnsi="仿宋" w:eastAsia="仿宋" w:cs="仿宋"/>
          <w:sz w:val="32"/>
          <w:szCs w:val="32"/>
          <w:lang w:eastAsia="zh-CN"/>
        </w:rPr>
        <w:t>杨文生提案者</w:t>
      </w:r>
      <w:r>
        <w:rPr>
          <w:rFonts w:hint="eastAsia" w:ascii="仿宋" w:hAnsi="仿宋" w:eastAsia="仿宋" w:cs="仿宋"/>
          <w:spacing w:val="6"/>
          <w:sz w:val="32"/>
          <w:szCs w:val="32"/>
        </w:rPr>
        <w:t>提出的</w:t>
      </w:r>
      <w:r>
        <w:rPr>
          <w:rFonts w:hint="eastAsia" w:ascii="仿宋" w:hAnsi="仿宋" w:eastAsia="仿宋" w:cs="仿宋"/>
          <w:spacing w:val="6"/>
          <w:sz w:val="32"/>
          <w:szCs w:val="32"/>
          <w:lang w:eastAsia="zh-CN"/>
        </w:rPr>
        <w:t>第</w:t>
      </w:r>
      <w:r>
        <w:rPr>
          <w:rFonts w:hint="eastAsia" w:ascii="仿宋" w:hAnsi="仿宋" w:eastAsia="仿宋" w:cs="仿宋"/>
          <w:spacing w:val="6"/>
          <w:sz w:val="32"/>
          <w:szCs w:val="32"/>
          <w:lang w:val="en-US" w:eastAsia="zh-CN"/>
        </w:rPr>
        <w:t>022</w:t>
      </w:r>
      <w:r>
        <w:rPr>
          <w:rFonts w:hint="eastAsia" w:ascii="仿宋" w:hAnsi="仿宋" w:eastAsia="仿宋" w:cs="仿宋"/>
          <w:spacing w:val="6"/>
          <w:sz w:val="32"/>
          <w:szCs w:val="32"/>
          <w:lang w:eastAsia="zh-CN"/>
        </w:rPr>
        <w:t>号“关于进一步提高枸杞产业综合效益和竞争力的提案”（含合并提案一条），提出如下协办意见：</w:t>
      </w:r>
    </w:p>
    <w:p>
      <w:pPr>
        <w:keepNext w:val="0"/>
        <w:keepLines w:val="0"/>
        <w:pageBreakBefore w:val="0"/>
        <w:widowControl w:val="0"/>
        <w:numPr>
          <w:ilvl w:val="0"/>
          <w:numId w:val="0"/>
        </w:numPr>
        <w:kinsoku w:val="0"/>
        <w:wordWrap/>
        <w:overflowPunct/>
        <w:topLinePunct w:val="0"/>
        <w:autoSpaceDE/>
        <w:autoSpaceDN/>
        <w:bidi w:val="0"/>
        <w:spacing w:line="560" w:lineRule="exact"/>
        <w:ind w:left="0" w:firstLine="643" w:firstLineChars="200"/>
        <w:jc w:val="both"/>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sz w:val="32"/>
          <w:szCs w:val="32"/>
          <w:lang w:val="en-US" w:eastAsia="zh-CN"/>
        </w:rPr>
        <w:t>一是</w:t>
      </w:r>
      <w:r>
        <w:rPr>
          <w:rFonts w:hint="eastAsia" w:ascii="仿宋" w:hAnsi="仿宋" w:eastAsia="仿宋" w:cs="仿宋"/>
          <w:b/>
          <w:bCs/>
          <w:color w:val="000000"/>
          <w:kern w:val="2"/>
          <w:sz w:val="32"/>
          <w:szCs w:val="32"/>
          <w:lang w:val="en-US" w:eastAsia="zh-CN" w:bidi="ar-SA"/>
        </w:rPr>
        <w:t>积极推进枸杞良种选育工作。</w:t>
      </w:r>
      <w:r>
        <w:rPr>
          <w:rFonts w:hint="eastAsia" w:ascii="仿宋" w:hAnsi="仿宋" w:eastAsia="仿宋" w:cs="仿宋"/>
          <w:b w:val="0"/>
          <w:bCs w:val="0"/>
          <w:color w:val="000000"/>
          <w:kern w:val="2"/>
          <w:sz w:val="32"/>
          <w:szCs w:val="32"/>
          <w:lang w:val="en-US" w:eastAsia="zh-CN" w:bidi="ar-SA"/>
        </w:rPr>
        <w:t>加大收集、鉴定枸杞优异资源，充实、壮大提升国家级枸杞种质资源库的建设能力。</w:t>
      </w:r>
      <w:r>
        <w:rPr>
          <w:rFonts w:hint="eastAsia" w:ascii="仿宋" w:hAnsi="仿宋" w:eastAsia="仿宋" w:cs="仿宋"/>
          <w:b w:val="0"/>
          <w:bCs w:val="0"/>
          <w:sz w:val="32"/>
          <w:szCs w:val="32"/>
          <w:lang w:val="en-US" w:eastAsia="zh-CN"/>
        </w:rPr>
        <w:t>建成了国内首家枸杞种质保存库，2022年确定为第一批国家农作物种质资源圃；收集保存国内外15种2600份枸杞种质资源，活体植株5万份。牵头制定出第一个国际枸杞DUS测试指南，为国际枸杞新品种精准鉴定提供检测依据；搭建了枸杞种质精准鉴定平台、分子辅助育种平台各1个，</w:t>
      </w:r>
      <w:r>
        <w:rPr>
          <w:rFonts w:hint="eastAsia" w:ascii="仿宋" w:hAnsi="仿宋" w:eastAsia="仿宋" w:cs="仿宋"/>
          <w:b w:val="0"/>
          <w:bCs w:val="0"/>
          <w:color w:val="000000"/>
          <w:kern w:val="2"/>
          <w:sz w:val="32"/>
          <w:szCs w:val="32"/>
          <w:lang w:val="en-US" w:eastAsia="zh-CN" w:bidi="ar-SA"/>
        </w:rPr>
        <w:t>对收集到的资源开展农艺性状、品质性状、抗逆性的鉴定评价，启动实施了枸杞新品种选育、枸杞种质资源精准鉴定技术研究、药用枸杞评价标准研究与构建以及枸杞基因组等研究工作，重点围绕鲜食、药用、叶用、加工等功能性枸杞优新良种培育，筛选出高糖、高甜菜碱、高玉米黄素、高黄酮、抗木虱、抗蚜虫、耐盐、高光效类型优质资源 39份，挖掘相关调控基因27个；配置杂交组合325 个，获得杂交群体8万余株，创制优异种质材料红果44份、黄果5份、黑果2份、单倍体7份，纯合二倍体材料10份，在枸中宁、海源、固原、惠农、银川、同心等枸杞主产区布设枸杞新品种试验示范点，选育的科杞608、宁农杞15号、宁农杞19号、宁农杞20号宁、杞2号、3号、4号等新品种通过了国家品种保护。</w:t>
      </w:r>
    </w:p>
    <w:p>
      <w:pPr>
        <w:keepNext w:val="0"/>
        <w:keepLines w:val="0"/>
        <w:pageBreakBefore w:val="0"/>
        <w:widowControl w:val="0"/>
        <w:kinsoku w:val="0"/>
        <w:wordWrap/>
        <w:overflowPunct/>
        <w:topLinePunct w:val="0"/>
        <w:autoSpaceDE/>
        <w:autoSpaceDN/>
        <w:bidi w:val="0"/>
        <w:spacing w:line="560" w:lineRule="exact"/>
        <w:ind w:left="0" w:firstLine="643" w:firstLineChars="200"/>
        <w:jc w:val="both"/>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二是积极开展良法栽培配套技术研究。</w:t>
      </w:r>
      <w:r>
        <w:rPr>
          <w:rFonts w:hint="eastAsia" w:ascii="仿宋" w:hAnsi="仿宋" w:eastAsia="仿宋" w:cs="仿宋"/>
          <w:b w:val="0"/>
          <w:bCs w:val="0"/>
          <w:color w:val="000000"/>
          <w:kern w:val="2"/>
          <w:sz w:val="32"/>
          <w:szCs w:val="32"/>
          <w:lang w:val="en-US" w:eastAsia="zh-CN" w:bidi="ar-SA"/>
        </w:rPr>
        <w:t>开展了宁夏枸杞区划与品种区域适应标准、退沙地杞瓜间作关键技术、枸杞产业优质高效关键技术的研究示范工作，探索建立了“宁杞7号”、“宁农杞9号”、“宁农杞2号”“宁农杞15号”、等枸杞新品种的配方施肥技术，确定了枸杞生育期内氮、磷、钾施用的关键期及最佳施肥量，构建起配方施肥技术的产量模型。明晰了氮传递规律及氮磷钾元素对枸杞果实中多糖、黄酮、甜菜碱和氨基酸等功效成分的调控机理，并且在中宁等枸杞主产区建立了11个枸杞科技示范园，进行新品种、新技术的转化推广，为枸杞的提质增效提供技术支撑。</w:t>
      </w:r>
    </w:p>
    <w:p>
      <w:pPr>
        <w:keepNext w:val="0"/>
        <w:keepLines w:val="0"/>
        <w:pageBreakBefore w:val="0"/>
        <w:widowControl w:val="0"/>
        <w:kinsoku w:val="0"/>
        <w:wordWrap/>
        <w:overflowPunct/>
        <w:topLinePunct w:val="0"/>
        <w:autoSpaceDE/>
        <w:autoSpaceDN/>
        <w:bidi w:val="0"/>
        <w:spacing w:line="560" w:lineRule="exact"/>
        <w:ind w:left="0"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三是联合攻关枸杞功效物质基础研究。</w:t>
      </w:r>
      <w:r>
        <w:rPr>
          <w:rFonts w:hint="eastAsia" w:ascii="仿宋" w:hAnsi="仿宋" w:eastAsia="仿宋" w:cs="仿宋"/>
          <w:b w:val="0"/>
          <w:bCs w:val="0"/>
          <w:sz w:val="32"/>
          <w:szCs w:val="32"/>
          <w:lang w:val="en-US" w:eastAsia="zh-CN"/>
        </w:rPr>
        <w:t xml:space="preserve">依托国家枸杞工程技术研究中心平台，联合美国罗格斯大学、北京大学医学部、西安交通大学医学部、南京农业大学等国内外营养与医学方向杰出团队揭示了枸杞多糖通过肠道菌群调节发挥降血糖、提高免疫力、肝损伤保护等机制、枸杞花粉多糖前列腺癌抑制功效及机制、枸杞酸AA-2βG通过调节结肠菌群发昏免疫调节功效、枸杞花色苷通过调节肠道微生物发挥降脂作用及通过铁死亡机制发挥抑制结肠癌等作用及机理；创新枸杞功效成分提制工艺技术3套、研发出枸杞酸AA-2βG中试合成工艺1套，首次实现枸杞活性成分人工合成突破；研发枸杞明目胶囊等深加工产品10个。部分研究成果在国内外具有重要影响力的期刊上发表。其中，TOP1区封面论文3篇，得到了国内外同行专家的认可。 </w:t>
      </w:r>
    </w:p>
    <w:p>
      <w:pPr>
        <w:keepNext w:val="0"/>
        <w:keepLines w:val="0"/>
        <w:pageBreakBefore w:val="0"/>
        <w:widowControl w:val="0"/>
        <w:kinsoku w:val="0"/>
        <w:wordWrap/>
        <w:overflowPunct/>
        <w:topLinePunct w:val="0"/>
        <w:autoSpaceDE/>
        <w:autoSpaceDN/>
        <w:bidi w:val="0"/>
        <w:spacing w:line="560" w:lineRule="exact"/>
        <w:ind w:left="0"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kern w:val="2"/>
          <w:sz w:val="32"/>
          <w:szCs w:val="32"/>
          <w:lang w:val="en-US" w:eastAsia="zh-CN" w:bidi="ar-SA"/>
        </w:rPr>
        <w:t>四是强化基础研究平台与团队建设</w:t>
      </w:r>
      <w:r>
        <w:rPr>
          <w:rFonts w:hint="eastAsia" w:ascii="仿宋" w:hAnsi="仿宋" w:eastAsia="仿宋" w:cs="仿宋"/>
          <w:b w:val="0"/>
          <w:bCs w:val="0"/>
          <w:kern w:val="2"/>
          <w:sz w:val="32"/>
          <w:szCs w:val="32"/>
          <w:lang w:val="en-US" w:eastAsia="zh-CN" w:bidi="ar-SA"/>
        </w:rPr>
        <w:t>。整合宁夏农科院创新资源，引进南京中医药大学、南京理工大学等一流专家团队，建立中国枸杞研究院，共同推进枸杞产业科技攻关。目前依托国家枸杞工程技术研究中心、中国枸杞研究院科技</w:t>
      </w:r>
      <w:r>
        <w:rPr>
          <w:rFonts w:hint="eastAsia" w:ascii="仿宋" w:hAnsi="仿宋" w:eastAsia="仿宋" w:cs="仿宋"/>
          <w:b w:val="0"/>
          <w:bCs w:val="0"/>
          <w:sz w:val="32"/>
          <w:szCs w:val="32"/>
          <w:lang w:val="en-US" w:eastAsia="zh-CN"/>
        </w:rPr>
        <w:t>平台，培育形成“枸杞种质创新与遗传改良”及“枸杞功效物质基础研究”团队2个，合计研究人员共计53人。其中， 自治区院士后备人才1人、享国务院特贴3人、自治区313人才1人、自治区312人才1人、自治区创新领军人才及青年拔尖人才共计10人、自治区托举人才4人。</w:t>
      </w:r>
    </w:p>
    <w:p>
      <w:pPr>
        <w:pStyle w:val="2"/>
        <w:keepNext w:val="0"/>
        <w:keepLines w:val="0"/>
        <w:pageBreakBefore w:val="0"/>
        <w:widowControl w:val="0"/>
        <w:kinsoku w:val="0"/>
        <w:wordWrap/>
        <w:overflowPunct/>
        <w:topLinePunct w:val="0"/>
        <w:autoSpaceDE/>
        <w:autoSpaceDN/>
        <w:bidi w:val="0"/>
        <w:spacing w:line="560" w:lineRule="exact"/>
        <w:ind w:left="0" w:firstLine="720"/>
        <w:jc w:val="both"/>
        <w:rPr>
          <w:rFonts w:hint="eastAsia" w:ascii="仿宋" w:hAnsi="仿宋" w:eastAsia="仿宋" w:cs="仿宋"/>
          <w:sz w:val="32"/>
          <w:szCs w:val="32"/>
          <w:lang w:val="en-US" w:eastAsia="zh-CN"/>
        </w:rPr>
      </w:pPr>
      <w:r>
        <w:rPr>
          <w:rFonts w:hint="eastAsia" w:ascii="仿宋" w:hAnsi="仿宋" w:eastAsia="仿宋" w:cs="仿宋"/>
          <w:b/>
          <w:bCs/>
          <w:color w:val="000000"/>
          <w:kern w:val="2"/>
          <w:sz w:val="32"/>
          <w:szCs w:val="32"/>
          <w:lang w:val="en-US" w:eastAsia="zh-CN" w:bidi="ar-SA"/>
        </w:rPr>
        <w:t>下一步，</w:t>
      </w:r>
      <w:r>
        <w:rPr>
          <w:rFonts w:hint="eastAsia" w:ascii="仿宋" w:hAnsi="仿宋" w:eastAsia="仿宋" w:cs="仿宋"/>
          <w:b w:val="0"/>
          <w:bCs w:val="0"/>
          <w:color w:val="000000"/>
          <w:kern w:val="2"/>
          <w:sz w:val="32"/>
          <w:szCs w:val="32"/>
          <w:lang w:val="en-US" w:eastAsia="zh-CN" w:bidi="ar-SA"/>
        </w:rPr>
        <w:t>农科院将紧紧围绕枸杞产业高质量发展需求，强攻</w:t>
      </w:r>
      <w:r>
        <w:rPr>
          <w:rFonts w:hint="eastAsia" w:ascii="仿宋" w:hAnsi="仿宋" w:eastAsia="仿宋" w:cs="仿宋"/>
          <w:b w:val="0"/>
          <w:bCs w:val="0"/>
          <w:kern w:val="2"/>
          <w:sz w:val="32"/>
          <w:szCs w:val="32"/>
          <w:lang w:val="en-US" w:eastAsia="zh-CN" w:bidi="ar-SA"/>
        </w:rPr>
        <w:t>关、搭平台、育主体、聚人才，瞄准枸杞功能基因、功效物质</w:t>
      </w:r>
      <w:r>
        <w:rPr>
          <w:rFonts w:hint="eastAsia" w:ascii="仿宋" w:hAnsi="仿宋" w:eastAsia="仿宋" w:cs="仿宋"/>
          <w:sz w:val="32"/>
          <w:szCs w:val="32"/>
          <w:lang w:val="en-US" w:eastAsia="zh-CN"/>
        </w:rPr>
        <w:t>基础、质量评价、生物病虫害防治等研发方向，着力推进枸杞基础研究；申报</w:t>
      </w:r>
      <w:r>
        <w:rPr>
          <w:rFonts w:hint="eastAsia" w:ascii="仿宋" w:hAnsi="仿宋" w:eastAsia="仿宋" w:cs="仿宋"/>
          <w:sz w:val="32"/>
          <w:szCs w:val="32"/>
        </w:rPr>
        <w:t>建设“宁夏回族自治区枸杞化学生物学重点实验室”科技创新高地， 针对性建立“枸杞功效物质基础研究与应用”自治区级重点实验室，设立科技孵育专项，整合区内外力量，搭建多种类型的技术交流、人才培养与互动的合作舞台，打造一支专职从事枸杞深加工产业的高素质科技队伍。为我区乃至西北地区在“十四五”时期以及更长时期的枸杞产业发展和自主科技创新能力提供最先进的、充足的、可持续的动力。</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keepNext w:val="0"/>
        <w:keepLines w:val="0"/>
        <w:pageBreakBefore w:val="0"/>
        <w:widowControl w:val="0"/>
        <w:kinsoku w:val="0"/>
        <w:wordWrap/>
        <w:overflowPunct/>
        <w:topLinePunct w:val="0"/>
        <w:autoSpaceDE/>
        <w:autoSpaceDN/>
        <w:bidi w:val="0"/>
        <w:spacing w:line="560" w:lineRule="exact"/>
        <w:ind w:left="0" w:firstLine="720"/>
        <w:jc w:val="both"/>
        <w:rPr>
          <w:rFonts w:hint="eastAsia" w:ascii="仿宋" w:hAnsi="仿宋" w:eastAsia="仿宋" w:cs="仿宋"/>
          <w:sz w:val="32"/>
          <w:szCs w:val="32"/>
          <w:lang w:val="en-US" w:eastAsia="zh-CN"/>
        </w:rPr>
      </w:pPr>
    </w:p>
    <w:p>
      <w:pPr>
        <w:pStyle w:val="2"/>
        <w:keepNext w:val="0"/>
        <w:keepLines w:val="0"/>
        <w:pageBreakBefore w:val="0"/>
        <w:widowControl w:val="0"/>
        <w:kinsoku w:val="0"/>
        <w:wordWrap/>
        <w:overflowPunct/>
        <w:topLinePunct w:val="0"/>
        <w:autoSpaceDE/>
        <w:autoSpaceDN/>
        <w:bidi w:val="0"/>
        <w:spacing w:line="560" w:lineRule="exact"/>
        <w:ind w:firstLine="6080" w:firstLineChars="19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宁夏农林科学院</w:t>
      </w:r>
    </w:p>
    <w:p>
      <w:pPr>
        <w:pStyle w:val="2"/>
        <w:keepNext w:val="0"/>
        <w:keepLines w:val="0"/>
        <w:pageBreakBefore w:val="0"/>
        <w:widowControl w:val="0"/>
        <w:kinsoku w:val="0"/>
        <w:wordWrap/>
        <w:overflowPunct/>
        <w:topLinePunct w:val="0"/>
        <w:autoSpaceDE/>
        <w:autoSpaceDN/>
        <w:bidi w:val="0"/>
        <w:spacing w:line="560" w:lineRule="exact"/>
        <w:ind w:left="0" w:firstLine="5894" w:firstLineChars="184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2023年6月26日</w:t>
      </w:r>
    </w:p>
    <w:p>
      <w:pPr>
        <w:rPr>
          <w:rFonts w:hint="eastAsia" w:ascii="仿宋" w:hAnsi="仿宋" w:eastAsia="仿宋" w:cs="仿宋"/>
          <w:sz w:val="32"/>
          <w:szCs w:val="32"/>
          <w:lang w:val="en-US" w:eastAsia="zh-CN"/>
        </w:rPr>
      </w:pPr>
    </w:p>
    <w:p>
      <w:pPr>
        <w:spacing w:before="101" w:line="226" w:lineRule="auto"/>
        <w:ind w:left="643"/>
        <w:rPr>
          <w:rFonts w:ascii="仿宋" w:hAnsi="仿宋" w:eastAsia="仿宋" w:cs="仿宋"/>
          <w:spacing w:val="6"/>
          <w:sz w:val="31"/>
          <w:szCs w:val="31"/>
        </w:rPr>
      </w:pPr>
      <w:r>
        <w:rPr>
          <w:rFonts w:ascii="仿宋" w:hAnsi="仿宋" w:eastAsia="仿宋" w:cs="仿宋"/>
          <w:spacing w:val="12"/>
          <w:sz w:val="31"/>
          <w:szCs w:val="31"/>
        </w:rPr>
        <w:t>(联</w:t>
      </w:r>
      <w:r>
        <w:rPr>
          <w:rFonts w:ascii="仿宋" w:hAnsi="仿宋" w:eastAsia="仿宋" w:cs="仿宋"/>
          <w:spacing w:val="8"/>
          <w:sz w:val="31"/>
          <w:szCs w:val="31"/>
        </w:rPr>
        <w:t>系</w:t>
      </w:r>
      <w:r>
        <w:rPr>
          <w:rFonts w:ascii="仿宋" w:hAnsi="仿宋" w:eastAsia="仿宋" w:cs="仿宋"/>
          <w:spacing w:val="6"/>
          <w:sz w:val="31"/>
          <w:szCs w:val="31"/>
        </w:rPr>
        <w:t>单位及电话： 宁夏农林科学院  0951-6886707)</w:t>
      </w:r>
    </w:p>
    <w:p>
      <w:pPr>
        <w:pStyle w:val="2"/>
        <w:rPr>
          <w:rFonts w:hint="default"/>
          <w:lang w:val="en-US" w:eastAsia="zh-CN"/>
        </w:rPr>
      </w:pPr>
    </w:p>
    <w:p/>
    <w:p>
      <w:pPr>
        <w:pStyle w:val="2"/>
      </w:pPr>
    </w:p>
    <w:p/>
    <w:p>
      <w:pPr>
        <w:rPr>
          <w:rFonts w:ascii="Arial"/>
          <w:sz w:val="21"/>
        </w:rPr>
      </w:pPr>
    </w:p>
    <w:sectPr>
      <w:footerReference r:id="rId5" w:type="default"/>
      <w:pgSz w:w="11906" w:h="16838"/>
      <w:pgMar w:top="1431" w:right="1332" w:bottom="1912" w:left="1647" w:header="0" w:footer="16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FE6F9D7-DD04-4C91-8FE8-725F0A036A3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0E4D5EE8-9821-49BB-A045-A928F0165A17}"/>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3" w:fontKey="{736C303B-7397-4C43-BC1E-CC3495993A4C}"/>
  </w:font>
  <w:font w:name="华光美黑_CNKI">
    <w:panose1 w:val="02000500000000000000"/>
    <w:charset w:val="86"/>
    <w:family w:val="auto"/>
    <w:pitch w:val="default"/>
    <w:sig w:usb0="A00002BF" w:usb1="38CF7CFA" w:usb2="00000016" w:usb3="00000000" w:csb0="0004000F" w:csb1="00000000"/>
  </w:font>
  <w:font w:name="华光广告_CNKI">
    <w:panose1 w:val="02000500000000000000"/>
    <w:charset w:val="86"/>
    <w:family w:val="auto"/>
    <w:pitch w:val="default"/>
    <w:sig w:usb0="A00002BF" w:usb1="38CF7CFA" w:usb2="0000003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292"/>
      <w:rPr>
        <w:rFonts w:ascii="宋体" w:hAnsi="宋体" w:eastAsia="宋体" w:cs="宋体"/>
        <w:sz w:val="28"/>
        <w:szCs w:val="28"/>
      </w:rPr>
    </w:pPr>
    <w:r>
      <w:rPr>
        <w:rFonts w:ascii="宋体" w:hAnsi="宋体" w:eastAsia="宋体" w:cs="宋体"/>
        <w:sz w:val="28"/>
        <w:szCs w:val="28"/>
      </w:rPr>
      <w:t>— 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RmZDNlM2U4YzA2Y2ZkYzk3ZjFkOGI5ZjVmNGE0ZjMifQ=="/>
  </w:docVars>
  <w:rsids>
    <w:rsidRoot w:val="00000000"/>
    <w:rsid w:val="0D282B00"/>
    <w:rsid w:val="10C67A29"/>
    <w:rsid w:val="143A5DDA"/>
    <w:rsid w:val="17C76AD9"/>
    <w:rsid w:val="1C784655"/>
    <w:rsid w:val="5CBE3EFF"/>
    <w:rsid w:val="69967495"/>
    <w:rsid w:val="787310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color w:val="000000"/>
      <w:kern w:val="0"/>
      <w:sz w:val="24"/>
    </w:rPr>
  </w:style>
  <w:style w:type="paragraph" w:styleId="3">
    <w:name w:val="Body Text"/>
    <w:basedOn w:val="1"/>
    <w:next w:val="1"/>
    <w:qFormat/>
    <w:uiPriority w:val="0"/>
    <w:pPr>
      <w:widowControl w:val="0"/>
      <w:spacing w:after="120"/>
      <w:jc w:val="both"/>
    </w:pPr>
    <w:rPr>
      <w:rFonts w:ascii="Times New Roman" w:hAnsi="Times New Roman" w:eastAsia="方正仿宋_GBK" w:cs="Times New Roman"/>
      <w:kern w:val="2"/>
      <w:sz w:val="24"/>
      <w:szCs w:val="24"/>
      <w:lang w:val="en-US" w:eastAsia="zh-CN" w:bidi="ar-SA"/>
    </w:rPr>
  </w:style>
  <w:style w:type="paragraph" w:styleId="4">
    <w:name w:val="Body Text Indent"/>
    <w:basedOn w:val="1"/>
    <w:next w:val="5"/>
    <w:qFormat/>
    <w:uiPriority w:val="0"/>
    <w:pPr>
      <w:ind w:left="600"/>
    </w:pPr>
    <w:rPr>
      <w:rFonts w:eastAsia="仿宋_GB2312"/>
      <w:sz w:val="30"/>
      <w:szCs w:val="24"/>
    </w:rPr>
  </w:style>
  <w:style w:type="paragraph" w:styleId="5">
    <w:name w:val="annotation subject"/>
    <w:next w:val="1"/>
    <w:qFormat/>
    <w:uiPriority w:val="0"/>
    <w:pPr>
      <w:widowControl w:val="0"/>
      <w:autoSpaceDE/>
      <w:autoSpaceDN/>
      <w:spacing w:before="0" w:after="0" w:line="240" w:lineRule="auto"/>
      <w:ind w:left="0" w:firstLine="0"/>
    </w:pPr>
    <w:rPr>
      <w:rFonts w:ascii="Times New Roman" w:hAnsi="Times New Roman" w:eastAsia="宋体" w:cs="Times New Roman"/>
      <w:b/>
      <w:sz w:val="21"/>
      <w:szCs w:val="22"/>
    </w:rPr>
  </w:style>
  <w:style w:type="paragraph" w:styleId="6">
    <w:name w:val="footer"/>
    <w:qFormat/>
    <w:uiPriority w:val="0"/>
    <w:pPr>
      <w:widowControl w:val="0"/>
      <w:tabs>
        <w:tab w:val="center" w:pos="4153"/>
        <w:tab w:val="right" w:pos="8306"/>
      </w:tabs>
      <w:snapToGrid w:val="0"/>
      <w:jc w:val="left"/>
    </w:pPr>
    <w:rPr>
      <w:rFonts w:ascii="Times New Roman" w:hAnsi="Times New Roman" w:eastAsia="方正仿宋_GBK" w:cs="Times New Roman"/>
      <w:kern w:val="2"/>
      <w:sz w:val="18"/>
      <w:szCs w:val="24"/>
      <w:lang w:val="en-US" w:eastAsia="zh-CN" w:bidi="ar-SA"/>
    </w:rPr>
  </w:style>
  <w:style w:type="paragraph" w:styleId="7">
    <w:name w:val="Body Text First Indent 2"/>
    <w:basedOn w:val="4"/>
    <w:next w:val="1"/>
    <w:qFormat/>
    <w:uiPriority w:val="0"/>
    <w:pPr>
      <w:spacing w:after="120" w:afterLines="0"/>
      <w:ind w:left="200" w:leftChars="200" w:firstLine="200" w:firstLineChars="200"/>
    </w:pPr>
    <w:rPr>
      <w:rFonts w:ascii="Times New Roman" w:hAnsi="Times New Roman"/>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1800</Words>
  <Characters>1873</Characters>
  <TotalTime>3</TotalTime>
  <ScaleCrop>false</ScaleCrop>
  <LinksUpToDate>false</LinksUpToDate>
  <CharactersWithSpaces>1891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2022-08-08T03:46:00Z</dcterms:created>
  <dc:creator>Administrator</dc:creator>
  <cp:lastModifiedBy>箬谦</cp:lastModifiedBy>
  <dcterms:modified xsi:type="dcterms:W3CDTF">2023-11-07T08:23:49Z</dcterms:modified>
  <dc:title>宁夏农林科学院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2022-08-08T16:05:16Z</vt:filetime>
  </property>
  <property fmtid="{D5CDD505-2E9C-101B-9397-08002B2CF9AE}" pid="4" name="KSOProductBuildVer">
    <vt:lpwstr>2052-12.1.0.15712</vt:lpwstr>
  </property>
  <property fmtid="{D5CDD505-2E9C-101B-9397-08002B2CF9AE}" pid="5" name="ICV">
    <vt:lpwstr>A8AE0075F3274974B9AF1C46BF72EC2C_13</vt:lpwstr>
  </property>
</Properties>
</file>